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18A" w:rsidRDefault="000A218A" w:rsidP="000A218A">
      <w:pPr>
        <w:ind w:firstLineChars="200" w:firstLine="560"/>
        <w:rPr>
          <w:rFonts w:ascii="Calibri" w:eastAsia="宋体" w:hAnsi="Calibri" w:cs="Times New Roman"/>
          <w:sz w:val="28"/>
          <w:szCs w:val="18"/>
        </w:rPr>
      </w:pPr>
    </w:p>
    <w:p w:rsidR="000A218A" w:rsidRDefault="000A218A" w:rsidP="000A218A">
      <w:pPr>
        <w:ind w:firstLineChars="200" w:firstLine="560"/>
        <w:rPr>
          <w:rFonts w:ascii="Calibri" w:eastAsia="宋体" w:hAnsi="Calibri" w:cs="Times New Roman"/>
          <w:sz w:val="28"/>
          <w:szCs w:val="18"/>
        </w:rPr>
      </w:pPr>
    </w:p>
    <w:p w:rsidR="000A218A" w:rsidRDefault="000A218A" w:rsidP="000A218A">
      <w:pPr>
        <w:ind w:firstLineChars="200" w:firstLine="1040"/>
        <w:jc w:val="center"/>
        <w:rPr>
          <w:rFonts w:ascii="Calibri" w:eastAsia="宋体" w:hAnsi="Calibri" w:cs="Times New Roman"/>
          <w:sz w:val="52"/>
          <w:szCs w:val="18"/>
        </w:rPr>
      </w:pPr>
      <w:r>
        <w:rPr>
          <w:rFonts w:eastAsia="黑体" w:hint="eastAsia"/>
          <w:sz w:val="52"/>
          <w:szCs w:val="18"/>
        </w:rPr>
        <w:t>人身保险教学大纲</w:t>
      </w:r>
    </w:p>
    <w:p w:rsidR="000A218A" w:rsidRDefault="000A218A" w:rsidP="000A218A">
      <w:pPr>
        <w:ind w:firstLineChars="200" w:firstLine="560"/>
        <w:rPr>
          <w:rFonts w:ascii="Calibri" w:eastAsia="宋体" w:hAnsi="Calibri" w:cs="Times New Roman"/>
          <w:sz w:val="28"/>
          <w:szCs w:val="18"/>
        </w:rPr>
      </w:pPr>
    </w:p>
    <w:p w:rsidR="000A218A" w:rsidRDefault="000A218A" w:rsidP="000A218A">
      <w:pPr>
        <w:ind w:firstLineChars="200" w:firstLine="560"/>
        <w:rPr>
          <w:rFonts w:ascii="Calibri" w:eastAsia="宋体" w:hAnsi="Calibri" w:cs="Times New Roman"/>
          <w:sz w:val="28"/>
          <w:szCs w:val="18"/>
        </w:rPr>
      </w:pPr>
    </w:p>
    <w:p w:rsidR="000A218A" w:rsidRDefault="000A218A" w:rsidP="000A218A">
      <w:pPr>
        <w:ind w:firstLineChars="200" w:firstLine="560"/>
        <w:rPr>
          <w:rFonts w:ascii="Calibri" w:eastAsia="宋体" w:hAnsi="Calibri" w:cs="Times New Roman"/>
          <w:sz w:val="28"/>
          <w:szCs w:val="18"/>
        </w:rPr>
      </w:pPr>
    </w:p>
    <w:p w:rsidR="000A218A" w:rsidRDefault="000A218A" w:rsidP="000A218A">
      <w:pPr>
        <w:ind w:firstLineChars="800" w:firstLine="2400"/>
        <w:rPr>
          <w:rFonts w:ascii="Calibri" w:eastAsia="黑体" w:hAnsi="Calibri" w:cs="Times New Roman"/>
          <w:sz w:val="30"/>
          <w:szCs w:val="18"/>
          <w:u w:val="single"/>
        </w:rPr>
      </w:pPr>
      <w:r>
        <w:rPr>
          <w:rFonts w:ascii="Calibri" w:eastAsia="黑体" w:hAnsi="Calibri" w:cs="Times New Roman" w:hint="eastAsia"/>
          <w:sz w:val="30"/>
          <w:szCs w:val="18"/>
        </w:rPr>
        <w:t>任课教师：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   </w:t>
      </w:r>
      <w:r>
        <w:rPr>
          <w:rFonts w:eastAsia="黑体" w:hint="eastAsia"/>
          <w:sz w:val="30"/>
          <w:szCs w:val="18"/>
          <w:u w:val="single"/>
        </w:rPr>
        <w:t>刘璐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          </w:t>
      </w:r>
    </w:p>
    <w:p w:rsidR="000A218A" w:rsidRDefault="000A218A" w:rsidP="000A218A">
      <w:pPr>
        <w:ind w:firstLineChars="800" w:firstLine="2400"/>
        <w:rPr>
          <w:rFonts w:ascii="Calibri" w:eastAsia="黑体" w:hAnsi="Calibri" w:cs="Times New Roman"/>
          <w:sz w:val="30"/>
          <w:szCs w:val="18"/>
          <w:u w:val="single"/>
        </w:rPr>
      </w:pPr>
    </w:p>
    <w:p w:rsidR="000A218A" w:rsidRDefault="000A218A" w:rsidP="000A218A">
      <w:pPr>
        <w:ind w:firstLineChars="800" w:firstLine="2400"/>
        <w:rPr>
          <w:rFonts w:ascii="Calibri" w:eastAsia="黑体" w:hAnsi="Calibri" w:cs="Times New Roman"/>
          <w:sz w:val="30"/>
          <w:szCs w:val="18"/>
          <w:u w:val="single"/>
        </w:rPr>
      </w:pPr>
      <w:r>
        <w:rPr>
          <w:rFonts w:ascii="Calibri" w:eastAsia="黑体" w:hAnsi="Calibri" w:cs="Times New Roman" w:hint="eastAsia"/>
          <w:sz w:val="30"/>
          <w:szCs w:val="18"/>
        </w:rPr>
        <w:t>授课班级：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  </w:t>
      </w:r>
      <w:r>
        <w:rPr>
          <w:rFonts w:eastAsia="黑体" w:hint="eastAsia"/>
          <w:sz w:val="30"/>
          <w:szCs w:val="18"/>
          <w:u w:val="single"/>
        </w:rPr>
        <w:t>保险学本科大三学生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   </w:t>
      </w:r>
    </w:p>
    <w:p w:rsidR="000A218A" w:rsidRDefault="000A218A" w:rsidP="000A218A">
      <w:pPr>
        <w:ind w:firstLineChars="800" w:firstLine="2400"/>
        <w:rPr>
          <w:rFonts w:ascii="Calibri" w:eastAsia="黑体" w:hAnsi="Calibri" w:cs="Times New Roman"/>
          <w:sz w:val="30"/>
          <w:szCs w:val="18"/>
          <w:u w:val="single"/>
        </w:rPr>
      </w:pPr>
    </w:p>
    <w:p w:rsidR="000A218A" w:rsidRDefault="000A218A" w:rsidP="000A218A">
      <w:pPr>
        <w:ind w:firstLineChars="800" w:firstLine="2400"/>
        <w:rPr>
          <w:rFonts w:ascii="Calibri" w:eastAsia="黑体" w:hAnsi="Calibri" w:cs="Times New Roman"/>
          <w:sz w:val="30"/>
          <w:szCs w:val="18"/>
          <w:u w:val="single"/>
        </w:rPr>
      </w:pPr>
      <w:r>
        <w:rPr>
          <w:rFonts w:ascii="Calibri" w:eastAsia="黑体" w:hAnsi="Calibri" w:cs="Times New Roman" w:hint="eastAsia"/>
          <w:sz w:val="30"/>
          <w:szCs w:val="18"/>
        </w:rPr>
        <w:t>课程学分：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      </w:t>
      </w:r>
      <w:r>
        <w:rPr>
          <w:rFonts w:eastAsia="黑体" w:hint="eastAsia"/>
          <w:sz w:val="30"/>
          <w:szCs w:val="18"/>
          <w:u w:val="single"/>
        </w:rPr>
        <w:t>3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       </w:t>
      </w:r>
    </w:p>
    <w:p w:rsidR="000A218A" w:rsidRDefault="000A218A" w:rsidP="000A218A">
      <w:pPr>
        <w:ind w:firstLineChars="800" w:firstLine="2400"/>
        <w:rPr>
          <w:rFonts w:ascii="Calibri" w:eastAsia="黑体" w:hAnsi="Calibri" w:cs="Times New Roman"/>
          <w:sz w:val="30"/>
          <w:szCs w:val="18"/>
          <w:u w:val="single"/>
        </w:rPr>
      </w:pPr>
    </w:p>
    <w:p w:rsidR="000A218A" w:rsidRDefault="000A218A" w:rsidP="000A218A">
      <w:pPr>
        <w:ind w:firstLineChars="800" w:firstLine="2400"/>
        <w:rPr>
          <w:rFonts w:ascii="Calibri" w:eastAsia="黑体" w:hAnsi="Calibri" w:cs="Times New Roman"/>
          <w:sz w:val="30"/>
          <w:szCs w:val="18"/>
          <w:u w:val="single"/>
        </w:rPr>
      </w:pPr>
      <w:r>
        <w:rPr>
          <w:rFonts w:ascii="Calibri" w:eastAsia="黑体" w:hAnsi="Calibri" w:cs="Times New Roman" w:hint="eastAsia"/>
          <w:sz w:val="30"/>
          <w:szCs w:val="18"/>
        </w:rPr>
        <w:t>课程总学时：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    </w:t>
      </w:r>
      <w:r>
        <w:rPr>
          <w:rFonts w:eastAsia="黑体" w:hint="eastAsia"/>
          <w:sz w:val="30"/>
          <w:szCs w:val="18"/>
          <w:u w:val="single"/>
        </w:rPr>
        <w:t>54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     </w:t>
      </w:r>
    </w:p>
    <w:p w:rsidR="000A218A" w:rsidRDefault="000A218A" w:rsidP="000A218A">
      <w:pPr>
        <w:ind w:firstLineChars="800" w:firstLine="2400"/>
        <w:rPr>
          <w:rFonts w:ascii="Calibri" w:eastAsia="黑体" w:hAnsi="Calibri" w:cs="Times New Roman"/>
          <w:sz w:val="30"/>
          <w:szCs w:val="18"/>
          <w:u w:val="single"/>
        </w:rPr>
      </w:pPr>
    </w:p>
    <w:p w:rsidR="000A218A" w:rsidRDefault="000A218A" w:rsidP="000A218A">
      <w:pPr>
        <w:ind w:firstLineChars="800" w:firstLine="2400"/>
        <w:rPr>
          <w:rFonts w:ascii="Calibri" w:eastAsia="黑体" w:hAnsi="Calibri" w:cs="Times New Roman"/>
          <w:sz w:val="30"/>
          <w:szCs w:val="18"/>
          <w:u w:val="single"/>
        </w:rPr>
      </w:pPr>
      <w:r>
        <w:rPr>
          <w:rFonts w:ascii="Calibri" w:eastAsia="黑体" w:hAnsi="Calibri" w:cs="Times New Roman" w:hint="eastAsia"/>
          <w:sz w:val="30"/>
          <w:szCs w:val="18"/>
        </w:rPr>
        <w:t>课程周学时：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    </w:t>
      </w:r>
      <w:r>
        <w:rPr>
          <w:rFonts w:eastAsia="黑体" w:hint="eastAsia"/>
          <w:sz w:val="30"/>
          <w:szCs w:val="18"/>
          <w:u w:val="single"/>
        </w:rPr>
        <w:t>3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     </w:t>
      </w:r>
    </w:p>
    <w:p w:rsidR="000A218A" w:rsidRDefault="000A218A" w:rsidP="000A218A">
      <w:pPr>
        <w:ind w:firstLineChars="800" w:firstLine="2400"/>
        <w:rPr>
          <w:rFonts w:ascii="Calibri" w:eastAsia="黑体" w:hAnsi="Calibri" w:cs="Times New Roman"/>
          <w:sz w:val="30"/>
          <w:szCs w:val="18"/>
        </w:rPr>
      </w:pPr>
    </w:p>
    <w:p w:rsidR="000A218A" w:rsidRDefault="000A218A" w:rsidP="000A218A">
      <w:pPr>
        <w:ind w:firstLineChars="800" w:firstLine="2400"/>
        <w:rPr>
          <w:rFonts w:ascii="Calibri" w:eastAsia="宋体" w:hAnsi="Calibri" w:cs="Times New Roman"/>
          <w:sz w:val="28"/>
          <w:szCs w:val="18"/>
        </w:rPr>
      </w:pPr>
      <w:r>
        <w:rPr>
          <w:rFonts w:ascii="Calibri" w:eastAsia="黑体" w:hAnsi="Calibri" w:cs="Times New Roman" w:hint="eastAsia"/>
          <w:sz w:val="30"/>
          <w:szCs w:val="18"/>
        </w:rPr>
        <w:t>上课周次：</w:t>
      </w:r>
      <w:r>
        <w:rPr>
          <w:rFonts w:ascii="Calibri" w:eastAsia="黑体" w:hAnsi="Calibri" w:cs="Times New Roman" w:hint="eastAsia"/>
          <w:sz w:val="30"/>
          <w:szCs w:val="18"/>
          <w:u w:val="single"/>
        </w:rPr>
        <w:t xml:space="preserve"> </w:t>
      </w:r>
      <w:r>
        <w:rPr>
          <w:rFonts w:ascii="Calibri" w:eastAsia="宋体" w:hAnsi="Calibri" w:cs="Times New Roman" w:hint="eastAsia"/>
          <w:sz w:val="28"/>
          <w:szCs w:val="18"/>
          <w:u w:val="single"/>
        </w:rPr>
        <w:t xml:space="preserve">   </w:t>
      </w:r>
      <w:r>
        <w:rPr>
          <w:rFonts w:hint="eastAsia"/>
          <w:sz w:val="28"/>
          <w:szCs w:val="18"/>
          <w:u w:val="single"/>
        </w:rPr>
        <w:t xml:space="preserve">  1-18</w:t>
      </w:r>
      <w:r>
        <w:rPr>
          <w:rFonts w:hint="eastAsia"/>
          <w:sz w:val="28"/>
          <w:szCs w:val="18"/>
          <w:u w:val="single"/>
        </w:rPr>
        <w:t>周</w:t>
      </w:r>
      <w:r>
        <w:rPr>
          <w:rFonts w:ascii="Calibri" w:eastAsia="宋体" w:hAnsi="Calibri" w:cs="Times New Roman" w:hint="eastAsia"/>
          <w:sz w:val="28"/>
          <w:szCs w:val="18"/>
          <w:u w:val="single"/>
        </w:rPr>
        <w:t xml:space="preserve">           </w:t>
      </w:r>
    </w:p>
    <w:p w:rsidR="000A218A" w:rsidRDefault="000A218A" w:rsidP="000A218A">
      <w:pPr>
        <w:ind w:firstLineChars="200" w:firstLine="560"/>
        <w:rPr>
          <w:rFonts w:ascii="Calibri" w:eastAsia="宋体" w:hAnsi="Calibri" w:cs="Times New Roman"/>
          <w:sz w:val="28"/>
          <w:szCs w:val="18"/>
        </w:rPr>
      </w:pPr>
    </w:p>
    <w:p w:rsidR="000A218A" w:rsidRDefault="000A218A" w:rsidP="000A218A">
      <w:pPr>
        <w:ind w:firstLineChars="200" w:firstLine="560"/>
        <w:rPr>
          <w:rFonts w:ascii="Calibri" w:eastAsia="宋体" w:hAnsi="Calibri" w:cs="Times New Roman"/>
          <w:sz w:val="28"/>
          <w:szCs w:val="18"/>
        </w:rPr>
      </w:pPr>
    </w:p>
    <w:p w:rsidR="000A218A" w:rsidRDefault="000A218A" w:rsidP="000A218A">
      <w:pPr>
        <w:jc w:val="center"/>
        <w:rPr>
          <w:rFonts w:ascii="Calibri" w:eastAsia="黑体" w:hAnsi="Calibri" w:cs="Times New Roman"/>
          <w:sz w:val="32"/>
        </w:rPr>
      </w:pPr>
      <w:r>
        <w:rPr>
          <w:rFonts w:ascii="Calibri" w:eastAsia="宋体" w:hAnsi="Calibri" w:cs="Times New Roman"/>
          <w:sz w:val="28"/>
        </w:rPr>
        <w:br w:type="page"/>
      </w:r>
      <w:r>
        <w:rPr>
          <w:rFonts w:ascii="Calibri" w:eastAsia="黑体" w:hAnsi="Calibri" w:cs="Times New Roman" w:hint="eastAsia"/>
          <w:sz w:val="32"/>
        </w:rPr>
        <w:lastRenderedPageBreak/>
        <w:t>教学进度计划</w:t>
      </w:r>
    </w:p>
    <w:p w:rsidR="000A218A" w:rsidRDefault="000A218A" w:rsidP="000A218A">
      <w:pPr>
        <w:jc w:val="center"/>
        <w:rPr>
          <w:rFonts w:ascii="Calibri" w:eastAsia="黑体" w:hAnsi="Calibri" w:cs="Times New Roman"/>
          <w:sz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18"/>
        <w:gridCol w:w="1612"/>
        <w:gridCol w:w="1433"/>
        <w:gridCol w:w="1508"/>
        <w:gridCol w:w="2251"/>
      </w:tblGrid>
      <w:tr w:rsidR="000A218A" w:rsidTr="00E85E88">
        <w:trPr>
          <w:jc w:val="center"/>
        </w:trPr>
        <w:tc>
          <w:tcPr>
            <w:tcW w:w="3330" w:type="dxa"/>
            <w:gridSpan w:val="2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    </w:t>
            </w:r>
            <w:r>
              <w:rPr>
                <w:rFonts w:ascii="Calibri" w:eastAsia="宋体" w:hAnsi="Calibri" w:cs="Times New Roman" w:hint="eastAsia"/>
                <w:sz w:val="28"/>
              </w:rPr>
              <w:t>节</w:t>
            </w:r>
          </w:p>
        </w:tc>
        <w:tc>
          <w:tcPr>
            <w:tcW w:w="1433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计划课时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教学手段</w:t>
            </w: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教学环境</w:t>
            </w: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1</w:t>
            </w:r>
            <w:r w:rsidR="00E85E88">
              <w:rPr>
                <w:rFonts w:hint="eastAsia"/>
                <w:sz w:val="28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引言</w:t>
            </w:r>
          </w:p>
        </w:tc>
        <w:tc>
          <w:tcPr>
            <w:tcW w:w="1433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1508" w:type="dxa"/>
            <w:vAlign w:val="center"/>
          </w:tcPr>
          <w:p w:rsidR="000A218A" w:rsidRDefault="006B76D9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hint="eastAsia"/>
                <w:sz w:val="28"/>
              </w:rPr>
              <w:t>多媒体</w:t>
            </w: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>2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人寿保险概述</w:t>
            </w:r>
          </w:p>
        </w:tc>
        <w:tc>
          <w:tcPr>
            <w:tcW w:w="1433" w:type="dxa"/>
            <w:vAlign w:val="center"/>
          </w:tcPr>
          <w:p w:rsidR="000A218A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3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>3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人寿保险发展简史</w:t>
            </w:r>
          </w:p>
        </w:tc>
        <w:tc>
          <w:tcPr>
            <w:tcW w:w="1433" w:type="dxa"/>
            <w:vAlign w:val="center"/>
          </w:tcPr>
          <w:p w:rsidR="000A218A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3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>4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人寿保险定价基本原理</w:t>
            </w:r>
          </w:p>
        </w:tc>
        <w:tc>
          <w:tcPr>
            <w:tcW w:w="1433" w:type="dxa"/>
            <w:vAlign w:val="center"/>
          </w:tcPr>
          <w:p w:rsidR="000A218A" w:rsidRP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3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>5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人寿保险产品</w:t>
            </w:r>
            <w:r>
              <w:rPr>
                <w:rFonts w:ascii="Calibri" w:eastAsia="宋体" w:hAnsi="Calibri" w:cs="Times New Roman" w:hint="eastAsia"/>
                <w:sz w:val="28"/>
              </w:rPr>
              <w:t>1</w:t>
            </w:r>
          </w:p>
        </w:tc>
        <w:tc>
          <w:tcPr>
            <w:tcW w:w="1433" w:type="dxa"/>
            <w:vAlign w:val="center"/>
          </w:tcPr>
          <w:p w:rsidR="000A218A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6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>6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人寿保险产品</w:t>
            </w:r>
            <w:r>
              <w:rPr>
                <w:rFonts w:ascii="Calibri" w:eastAsia="宋体" w:hAnsi="Calibri" w:cs="Times New Roman" w:hint="eastAsia"/>
                <w:sz w:val="28"/>
              </w:rPr>
              <w:t>2</w:t>
            </w:r>
          </w:p>
        </w:tc>
        <w:tc>
          <w:tcPr>
            <w:tcW w:w="1433" w:type="dxa"/>
            <w:vAlign w:val="center"/>
          </w:tcPr>
          <w:p w:rsidR="000A218A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6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E85E88" w:rsidTr="00E85E88">
        <w:trPr>
          <w:jc w:val="center"/>
        </w:trPr>
        <w:tc>
          <w:tcPr>
            <w:tcW w:w="1718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习题与案例课</w:t>
            </w:r>
            <w:r>
              <w:rPr>
                <w:rFonts w:ascii="Calibri" w:eastAsia="宋体" w:hAnsi="Calibri" w:cs="Times New Roman" w:hint="eastAsia"/>
                <w:sz w:val="28"/>
              </w:rPr>
              <w:t>1</w:t>
            </w:r>
          </w:p>
        </w:tc>
        <w:tc>
          <w:tcPr>
            <w:tcW w:w="1612" w:type="dxa"/>
            <w:vAlign w:val="center"/>
          </w:tcPr>
          <w:p w:rsidR="00E85E88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433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2</w:t>
            </w:r>
          </w:p>
        </w:tc>
        <w:tc>
          <w:tcPr>
            <w:tcW w:w="1508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>7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健康保险与意外伤害保险</w:t>
            </w:r>
          </w:p>
        </w:tc>
        <w:tc>
          <w:tcPr>
            <w:tcW w:w="1433" w:type="dxa"/>
            <w:vAlign w:val="center"/>
          </w:tcPr>
          <w:p w:rsidR="000A218A" w:rsidRP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5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>8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人寿保险需求评估</w:t>
            </w:r>
          </w:p>
        </w:tc>
        <w:tc>
          <w:tcPr>
            <w:tcW w:w="1433" w:type="dxa"/>
            <w:vAlign w:val="center"/>
          </w:tcPr>
          <w:p w:rsidR="000A218A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5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E85E88" w:rsidTr="00E85E88">
        <w:trPr>
          <w:jc w:val="center"/>
        </w:trPr>
        <w:tc>
          <w:tcPr>
            <w:tcW w:w="1718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lastRenderedPageBreak/>
              <w:t>习题与案例课</w:t>
            </w:r>
            <w:r>
              <w:rPr>
                <w:rFonts w:ascii="Calibri" w:eastAsia="宋体" w:hAnsi="Calibri" w:cs="Times New Roman" w:hint="eastAsia"/>
                <w:sz w:val="28"/>
              </w:rPr>
              <w:t>2</w:t>
            </w:r>
          </w:p>
        </w:tc>
        <w:tc>
          <w:tcPr>
            <w:tcW w:w="1612" w:type="dxa"/>
            <w:vAlign w:val="center"/>
          </w:tcPr>
          <w:p w:rsidR="00E85E88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433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2</w:t>
            </w:r>
          </w:p>
        </w:tc>
        <w:tc>
          <w:tcPr>
            <w:tcW w:w="1508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>9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人寿保险合同</w:t>
            </w:r>
          </w:p>
        </w:tc>
        <w:tc>
          <w:tcPr>
            <w:tcW w:w="1433" w:type="dxa"/>
            <w:vAlign w:val="center"/>
          </w:tcPr>
          <w:p w:rsidR="000A218A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6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E85E88" w:rsidTr="00E85E88">
        <w:trPr>
          <w:jc w:val="center"/>
        </w:trPr>
        <w:tc>
          <w:tcPr>
            <w:tcW w:w="1718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习题与案例课</w:t>
            </w:r>
            <w:r>
              <w:rPr>
                <w:rFonts w:ascii="Calibri" w:eastAsia="宋体" w:hAnsi="Calibri" w:cs="Times New Roman" w:hint="eastAsia"/>
                <w:sz w:val="28"/>
              </w:rPr>
              <w:t>3</w:t>
            </w:r>
          </w:p>
        </w:tc>
        <w:tc>
          <w:tcPr>
            <w:tcW w:w="1612" w:type="dxa"/>
            <w:vAlign w:val="center"/>
          </w:tcPr>
          <w:p w:rsidR="00E85E88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433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3</w:t>
            </w:r>
          </w:p>
        </w:tc>
        <w:tc>
          <w:tcPr>
            <w:tcW w:w="1508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E85E88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>10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团体保险</w:t>
            </w:r>
          </w:p>
        </w:tc>
        <w:tc>
          <w:tcPr>
            <w:tcW w:w="1433" w:type="dxa"/>
            <w:vAlign w:val="center"/>
          </w:tcPr>
          <w:p w:rsidR="000A218A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3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第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 w:rsidR="00E85E88">
              <w:rPr>
                <w:rFonts w:ascii="Calibri" w:eastAsia="宋体" w:hAnsi="Calibri" w:cs="Times New Roman" w:hint="eastAsia"/>
                <w:sz w:val="28"/>
              </w:rPr>
              <w:t>11</w:t>
            </w:r>
            <w:r>
              <w:rPr>
                <w:rFonts w:ascii="Calibri" w:eastAsia="宋体" w:hAnsi="Calibri" w:cs="Times New Roman" w:hint="eastAsia"/>
                <w:sz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8"/>
              </w:rPr>
              <w:t>章</w:t>
            </w:r>
          </w:p>
        </w:tc>
        <w:tc>
          <w:tcPr>
            <w:tcW w:w="1612" w:type="dxa"/>
            <w:vAlign w:val="center"/>
          </w:tcPr>
          <w:p w:rsidR="000A218A" w:rsidRDefault="00E85E88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人寿保险市场与监管</w:t>
            </w:r>
          </w:p>
        </w:tc>
        <w:tc>
          <w:tcPr>
            <w:tcW w:w="1433" w:type="dxa"/>
            <w:vAlign w:val="center"/>
          </w:tcPr>
          <w:p w:rsidR="000A218A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3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0A218A" w:rsidTr="00E85E88">
        <w:trPr>
          <w:jc w:val="center"/>
        </w:trPr>
        <w:tc>
          <w:tcPr>
            <w:tcW w:w="1718" w:type="dxa"/>
            <w:vAlign w:val="center"/>
          </w:tcPr>
          <w:p w:rsidR="000A218A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总复习</w:t>
            </w:r>
          </w:p>
        </w:tc>
        <w:tc>
          <w:tcPr>
            <w:tcW w:w="1612" w:type="dxa"/>
            <w:vAlign w:val="center"/>
          </w:tcPr>
          <w:p w:rsidR="000A218A" w:rsidRDefault="000A218A" w:rsidP="000A218A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433" w:type="dxa"/>
            <w:vAlign w:val="center"/>
          </w:tcPr>
          <w:p w:rsidR="000A218A" w:rsidRDefault="00E85E88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  <w:r>
              <w:rPr>
                <w:rFonts w:ascii="Calibri" w:eastAsia="宋体" w:hAnsi="Calibri" w:cs="Times New Roman" w:hint="eastAsia"/>
                <w:sz w:val="28"/>
              </w:rPr>
              <w:t>2</w:t>
            </w:r>
          </w:p>
        </w:tc>
        <w:tc>
          <w:tcPr>
            <w:tcW w:w="1508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51" w:type="dxa"/>
            <w:vAlign w:val="center"/>
          </w:tcPr>
          <w:p w:rsidR="000A218A" w:rsidRDefault="000A218A" w:rsidP="00F63473">
            <w:pPr>
              <w:spacing w:line="480" w:lineRule="auto"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</w:tbl>
    <w:p w:rsidR="00DA7E0B" w:rsidRDefault="000A218A">
      <w:r>
        <w:rPr>
          <w:rFonts w:ascii="Calibri" w:eastAsia="宋体" w:hAnsi="Calibri" w:cs="Times New Roman"/>
          <w:sz w:val="28"/>
        </w:rPr>
        <w:br w:type="page"/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lastRenderedPageBreak/>
        <w:t>《人身保险》课程教学大纲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课程英文名称：</w:t>
      </w:r>
      <w:r w:rsidRPr="00E85E88">
        <w:rPr>
          <w:rFonts w:hint="eastAsia"/>
          <w:sz w:val="24"/>
          <w:szCs w:val="24"/>
        </w:rPr>
        <w:t xml:space="preserve">Life  Insurance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课程号：</w:t>
      </w:r>
      <w:r w:rsidRPr="00E85E88">
        <w:rPr>
          <w:rFonts w:hint="eastAsia"/>
          <w:sz w:val="24"/>
          <w:szCs w:val="24"/>
        </w:rPr>
        <w:t xml:space="preserve"> 4050151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        </w:t>
      </w:r>
      <w:r w:rsidRPr="00E85E88">
        <w:rPr>
          <w:rFonts w:hint="eastAsia"/>
          <w:sz w:val="24"/>
          <w:szCs w:val="24"/>
        </w:rPr>
        <w:t>课程概述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ind w:firstLine="405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）课程的性质。人身保险是保险专业的专业核心课程，属于保险专业的必修课。</w:t>
      </w:r>
    </w:p>
    <w:p w:rsidR="00931092" w:rsidRPr="00E85E88" w:rsidRDefault="00931092" w:rsidP="00E85E88">
      <w:pPr>
        <w:spacing w:line="276" w:lineRule="auto"/>
        <w:ind w:firstLine="405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课程教学的目标。保险专业毕业生的分配去向主要是保险公司，保险公司经营的业务主要是财产保险业务和人身保险业务，所以人身保险课程与财产保险课程成为两们最重要的专业核心课，不可或缺，而且学生必须学好，具体要求是：掌握人身保险的理论与实务，能够适应未来的工作要求。</w:t>
      </w:r>
    </w:p>
    <w:p w:rsidR="00931092" w:rsidRPr="00E85E88" w:rsidRDefault="00931092" w:rsidP="00E85E88">
      <w:pPr>
        <w:spacing w:line="276" w:lineRule="auto"/>
        <w:ind w:firstLine="405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）课程的适用专业与年级。人身保险的授课对象为保险专业或金融专业的三年级学生。</w:t>
      </w:r>
    </w:p>
    <w:p w:rsidR="00931092" w:rsidRPr="00E85E88" w:rsidRDefault="00931092" w:rsidP="00E85E88">
      <w:pPr>
        <w:spacing w:line="276" w:lineRule="auto"/>
        <w:ind w:firstLine="405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4</w:t>
      </w:r>
      <w:r w:rsidRPr="00E85E88">
        <w:rPr>
          <w:rFonts w:hint="eastAsia"/>
          <w:sz w:val="24"/>
          <w:szCs w:val="24"/>
        </w:rPr>
        <w:t>）课程的总学时学分要求。课程的总学时为</w:t>
      </w:r>
      <w:r w:rsidRPr="00E85E88">
        <w:rPr>
          <w:rFonts w:hint="eastAsia"/>
          <w:sz w:val="24"/>
          <w:szCs w:val="24"/>
        </w:rPr>
        <w:t xml:space="preserve">54 </w:t>
      </w:r>
      <w:r w:rsidRPr="00E85E88">
        <w:rPr>
          <w:rFonts w:hint="eastAsia"/>
          <w:sz w:val="24"/>
          <w:szCs w:val="24"/>
        </w:rPr>
        <w:t>学时，其中课堂讲授</w:t>
      </w:r>
      <w:r w:rsidRPr="00E85E88">
        <w:rPr>
          <w:rFonts w:hint="eastAsia"/>
          <w:sz w:val="24"/>
          <w:szCs w:val="24"/>
        </w:rPr>
        <w:t xml:space="preserve"> 48 </w:t>
      </w:r>
      <w:r w:rsidRPr="00E85E88">
        <w:rPr>
          <w:rFonts w:hint="eastAsia"/>
          <w:sz w:val="24"/>
          <w:szCs w:val="24"/>
        </w:rPr>
        <w:t>学时，讨论</w:t>
      </w:r>
      <w:r w:rsidRPr="00E85E88">
        <w:rPr>
          <w:rFonts w:hint="eastAsia"/>
          <w:sz w:val="24"/>
          <w:szCs w:val="24"/>
        </w:rPr>
        <w:t xml:space="preserve">4 </w:t>
      </w:r>
      <w:r w:rsidRPr="00E85E88">
        <w:rPr>
          <w:rFonts w:hint="eastAsia"/>
          <w:sz w:val="24"/>
          <w:szCs w:val="24"/>
        </w:rPr>
        <w:t>学时，外请专家演讲</w:t>
      </w:r>
      <w:r w:rsidRPr="00E85E88">
        <w:rPr>
          <w:rFonts w:hint="eastAsia"/>
          <w:sz w:val="24"/>
          <w:szCs w:val="24"/>
        </w:rPr>
        <w:t xml:space="preserve"> 2 </w:t>
      </w:r>
      <w:r w:rsidRPr="00E85E88">
        <w:rPr>
          <w:rFonts w:hint="eastAsia"/>
          <w:sz w:val="24"/>
          <w:szCs w:val="24"/>
        </w:rPr>
        <w:t>学时。</w:t>
      </w:r>
    </w:p>
    <w:p w:rsidR="00931092" w:rsidRPr="00E85E88" w:rsidRDefault="00931092" w:rsidP="00E85E88">
      <w:pPr>
        <w:spacing w:line="276" w:lineRule="auto"/>
        <w:ind w:firstLine="405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5</w:t>
      </w:r>
      <w:r w:rsidRPr="00E85E88">
        <w:rPr>
          <w:rFonts w:hint="eastAsia"/>
          <w:sz w:val="24"/>
          <w:szCs w:val="24"/>
        </w:rPr>
        <w:t>）本课程与其他课程的联系与分工。人身保险的预修课程是保险学原理，金融市场与证券投资。</w:t>
      </w:r>
    </w:p>
    <w:p w:rsidR="00931092" w:rsidRPr="00E85E88" w:rsidRDefault="00931092" w:rsidP="00E85E88">
      <w:pPr>
        <w:spacing w:line="276" w:lineRule="auto"/>
        <w:ind w:firstLine="405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6</w:t>
      </w:r>
      <w:r w:rsidRPr="00E85E88">
        <w:rPr>
          <w:rFonts w:hint="eastAsia"/>
          <w:sz w:val="24"/>
          <w:szCs w:val="24"/>
        </w:rPr>
        <w:t>）课程使用的教材及参考资料。使用的教材是孙祁祥等翻译《人寿与健康保险》，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参考书为许谨良主编的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《人身保险原理与实务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，万里虹主编的《人身保险欺诈与防范》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</w:t>
      </w:r>
      <w:r w:rsidRPr="00E85E88">
        <w:rPr>
          <w:rFonts w:hint="eastAsia"/>
          <w:sz w:val="24"/>
          <w:szCs w:val="24"/>
        </w:rPr>
        <w:t>课程教学的基本要求和考核要求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本门课程一共</w:t>
      </w:r>
      <w:r w:rsidRPr="00E85E88">
        <w:rPr>
          <w:rFonts w:hint="eastAsia"/>
          <w:sz w:val="24"/>
          <w:szCs w:val="24"/>
        </w:rPr>
        <w:t xml:space="preserve"> 16 </w:t>
      </w:r>
      <w:r w:rsidRPr="00E85E88">
        <w:rPr>
          <w:rFonts w:hint="eastAsia"/>
          <w:sz w:val="24"/>
          <w:szCs w:val="24"/>
        </w:rPr>
        <w:t>章，</w:t>
      </w:r>
      <w:r w:rsidRPr="00E85E88">
        <w:rPr>
          <w:rFonts w:hint="eastAsia"/>
          <w:sz w:val="24"/>
          <w:szCs w:val="24"/>
        </w:rPr>
        <w:t xml:space="preserve">54 </w:t>
      </w:r>
      <w:r w:rsidRPr="00E85E88">
        <w:rPr>
          <w:rFonts w:hint="eastAsia"/>
          <w:sz w:val="24"/>
          <w:szCs w:val="24"/>
        </w:rPr>
        <w:t>学时，课时分配情况：第七、九、十六章各</w:t>
      </w:r>
      <w:r w:rsidRPr="00E85E88">
        <w:rPr>
          <w:rFonts w:hint="eastAsia"/>
          <w:sz w:val="24"/>
          <w:szCs w:val="24"/>
        </w:rPr>
        <w:t xml:space="preserve">5 </w:t>
      </w:r>
      <w:r w:rsidRPr="00E85E88">
        <w:rPr>
          <w:rFonts w:hint="eastAsia"/>
          <w:sz w:val="24"/>
          <w:szCs w:val="24"/>
        </w:rPr>
        <w:t>学时，其他各章各</w:t>
      </w:r>
      <w:r w:rsidRPr="00E85E88">
        <w:rPr>
          <w:rFonts w:hint="eastAsia"/>
          <w:sz w:val="24"/>
          <w:szCs w:val="24"/>
        </w:rPr>
        <w:t xml:space="preserve">3 </w:t>
      </w:r>
      <w:r w:rsidRPr="00E85E88">
        <w:rPr>
          <w:rFonts w:hint="eastAsia"/>
          <w:sz w:val="24"/>
          <w:szCs w:val="24"/>
        </w:rPr>
        <w:t>学时。</w:t>
      </w:r>
      <w:r w:rsidRPr="00E85E88">
        <w:rPr>
          <w:rFonts w:hint="eastAsia"/>
          <w:sz w:val="24"/>
          <w:szCs w:val="24"/>
        </w:rPr>
        <w:t xml:space="preserve">3 </w:t>
      </w:r>
      <w:r w:rsidRPr="00E85E88">
        <w:rPr>
          <w:rFonts w:hint="eastAsia"/>
          <w:sz w:val="24"/>
          <w:szCs w:val="24"/>
        </w:rPr>
        <w:t>学分。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第一章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人身保险</w:t>
      </w:r>
      <w:bookmarkStart w:id="0" w:name="_GoBack"/>
      <w:bookmarkEnd w:id="0"/>
      <w:r w:rsidRPr="00E85E88">
        <w:rPr>
          <w:rFonts w:hint="eastAsia"/>
          <w:sz w:val="24"/>
          <w:szCs w:val="24"/>
        </w:rPr>
        <w:t>概述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人身保险及其特征</w:t>
      </w:r>
      <w:r w:rsidRPr="00E85E88">
        <w:rPr>
          <w:rFonts w:hint="eastAsia"/>
          <w:sz w:val="24"/>
          <w:szCs w:val="24"/>
        </w:rPr>
        <w:t xml:space="preserve"> 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人身保险的概念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人身保险的特征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人身保险的历史沿革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人身保险的形成与发展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我国人身保险发展的历史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人身保险的类别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依保险标的划分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依实施方式划分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依投保方式划分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依保险期限划分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lastRenderedPageBreak/>
        <w:t>五、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依有无分红划分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六、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依是否体检划分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七、依是否有投资功能划分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）识记。人身保险，分红保险。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）领会，人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身保险特征，人身保险分类方法。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）应用。根据本章的有关内容，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分析我国人寿保险市场的发展趋势。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第二章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人身保险的作用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人身保险在个人理财方面的用途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个人理财的基本知识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个人或家庭财务规划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三、财务规划与人身保险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人身保险对个人和家庭的用途</w:t>
      </w:r>
      <w:r w:rsidRPr="00E85E88">
        <w:rPr>
          <w:rFonts w:hint="eastAsia"/>
          <w:sz w:val="24"/>
          <w:szCs w:val="24"/>
        </w:rPr>
        <w:t xml:space="preserve">   12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解除忧虑，保障家庭生活安定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保障晚年过上富足的有尊严的生活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能确保遗产按个人意愿进行处理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合理避税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  </w:t>
      </w:r>
      <w:r w:rsidRPr="00E85E88">
        <w:rPr>
          <w:rFonts w:hint="eastAsia"/>
          <w:sz w:val="24"/>
          <w:szCs w:val="24"/>
        </w:rPr>
        <w:t>人身保险对企业的利用价值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弥补因重要人物死亡给企业带来的损失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增强企业信用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留住人才、吸引人才，增强凝聚力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四、保证企业持续经营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）识记。财务规划，关键人物保险。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合理避税。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）应用。举例说明人身保险对家庭的作用。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</w:t>
      </w:r>
      <w:r w:rsidRPr="00E85E88">
        <w:rPr>
          <w:rFonts w:hint="eastAsia"/>
          <w:sz w:val="24"/>
          <w:szCs w:val="24"/>
        </w:rPr>
        <w:t>第三章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人身保险合同条款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人身保险合同的基本条款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当事人条款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保险标的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保险责任和责任免除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保险期间和责任期间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五、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保险金额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六、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保险费及支付方法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七、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保险赔偿或给付方法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人寿保险合同特殊条款</w:t>
      </w:r>
      <w:r w:rsidRPr="00E85E88">
        <w:rPr>
          <w:rFonts w:hint="eastAsia"/>
          <w:sz w:val="24"/>
          <w:szCs w:val="24"/>
        </w:rPr>
        <w:t xml:space="preserve">   13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一、不可抗辩条款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二、宽限期条款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三、保费自动垫缴条款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四、复效条款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lastRenderedPageBreak/>
        <w:t xml:space="preserve">            </w:t>
      </w:r>
      <w:r w:rsidRPr="00E85E88">
        <w:rPr>
          <w:rFonts w:hint="eastAsia"/>
          <w:sz w:val="24"/>
          <w:szCs w:val="24"/>
        </w:rPr>
        <w:t>五、保单贷款条款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六、年龄误告条款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七、受益人条款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八、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自杀条款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九、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合同转让条款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十、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战争及航空除外条款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十一、不丧失价值条款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十二、意外死亡双倍赔付条款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健康保险合同常用条款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一、健康保险一般条款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二、个人健康保险条款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三、团体健康保险条款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）识记。受益人条款，不可抗辩条款，合同转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让条款。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）领会，个人健康保险中的既存状况条款与团体健康保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险中本条款的不同。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）应用。结合实例理解各种条款。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第四章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人身保险的组织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人寿保险公司的种类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一、国有人寿保险公司</w:t>
      </w:r>
      <w:r w:rsidRPr="00E85E88">
        <w:rPr>
          <w:rFonts w:hint="eastAsia"/>
          <w:sz w:val="24"/>
          <w:szCs w:val="24"/>
        </w:rPr>
        <w:t xml:space="preserve">   14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二、人寿保险股份公司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三、相互人寿保险公司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</w:t>
      </w:r>
      <w:r w:rsidRPr="00E85E88">
        <w:rPr>
          <w:rFonts w:hint="eastAsia"/>
          <w:sz w:val="24"/>
          <w:szCs w:val="24"/>
        </w:rPr>
        <w:t>四、股份公司相互化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</w:t>
      </w:r>
      <w:r w:rsidRPr="00E85E88">
        <w:rPr>
          <w:rFonts w:hint="eastAsia"/>
          <w:sz w:val="24"/>
          <w:szCs w:val="24"/>
        </w:rPr>
        <w:t>五、相互公司股份化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兼并、收购、控股公司和策略联盟</w:t>
      </w:r>
      <w:r w:rsidRPr="00E85E88">
        <w:rPr>
          <w:rFonts w:hint="eastAsia"/>
          <w:sz w:val="24"/>
          <w:szCs w:val="24"/>
        </w:rPr>
        <w:t xml:space="preserve"> 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一、兼并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二、收购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三、控股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四、策略联盟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人寿保险公司的内部结构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一、人寿保险公司的基本组织要素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二、人寿保险公司的组织结构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三、按功能、产品、地域划分的组织结构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四、人寿保险公司的功能部门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）识记。股份公司相互化，相互公司股份化，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兼并，策略联盟。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）领会。国有保险公司存在的主要问题，国有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公司的股份制改造。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）应用。剖析一家寿险公司的组织结构，以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比较按不同标志划分的组织结构的优缺点。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</w:t>
      </w:r>
      <w:r w:rsidRPr="00E85E88">
        <w:rPr>
          <w:rFonts w:hint="eastAsia"/>
          <w:sz w:val="24"/>
          <w:szCs w:val="24"/>
        </w:rPr>
        <w:t>第五章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传统人寿保险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人寿保险性质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lastRenderedPageBreak/>
        <w:t xml:space="preserve">                </w:t>
      </w:r>
      <w:r w:rsidRPr="00E85E88">
        <w:rPr>
          <w:rFonts w:hint="eastAsia"/>
          <w:sz w:val="24"/>
          <w:szCs w:val="24"/>
        </w:rPr>
        <w:t>一、人寿保险定义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</w:t>
      </w:r>
      <w:r w:rsidRPr="00E85E88">
        <w:rPr>
          <w:rFonts w:hint="eastAsia"/>
          <w:sz w:val="24"/>
          <w:szCs w:val="24"/>
        </w:rPr>
        <w:t>二、人寿保险特征</w:t>
      </w:r>
      <w:r w:rsidRPr="00E85E88">
        <w:rPr>
          <w:rFonts w:hint="eastAsia"/>
          <w:sz w:val="24"/>
          <w:szCs w:val="24"/>
        </w:rPr>
        <w:t xml:space="preserve">   15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定期保险与定期生存保险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</w:t>
      </w:r>
      <w:r w:rsidRPr="00E85E88">
        <w:rPr>
          <w:rFonts w:hint="eastAsia"/>
          <w:sz w:val="24"/>
          <w:szCs w:val="24"/>
        </w:rPr>
        <w:t>一、定期保险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二、定期生存保险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终身寿险和两全保险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一、终身寿险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二、两全保险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第四节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简易人寿保险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一、简易人寿保险及其特征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二、简易人寿保险的种类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三、简易人寿保险合同的主要条款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第五节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补充保险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一、补充保险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二、补充残疾保险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三、提前给付保险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四、可保增值权益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五、附加被保险人的保险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）识记。人寿保险，定期保险，两全保险，生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存保险，补充保险。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）领会，各种寿险的联系与区别。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我国现行寿险保单对补充保险的运用。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</w:t>
      </w:r>
      <w:r w:rsidRPr="00E85E88">
        <w:rPr>
          <w:rFonts w:hint="eastAsia"/>
          <w:sz w:val="24"/>
          <w:szCs w:val="24"/>
        </w:rPr>
        <w:t>第六章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年金保险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年金保险及其特征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一、年金保险</w:t>
      </w:r>
      <w:r w:rsidRPr="00E85E88">
        <w:rPr>
          <w:rFonts w:hint="eastAsia"/>
          <w:sz w:val="24"/>
          <w:szCs w:val="24"/>
        </w:rPr>
        <w:t xml:space="preserve">   16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二、年金保险分类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三、年金种类特性分析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四、常见的年金种类及承保方式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主要年金产品介绍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一、退休年金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二、趸缴保费延期年金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三、趸缴保费即期年金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四、弹性缴费延期年金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</w:t>
      </w:r>
      <w:r w:rsidRPr="00E85E88">
        <w:rPr>
          <w:rFonts w:hint="eastAsia"/>
          <w:sz w:val="24"/>
          <w:szCs w:val="24"/>
        </w:rPr>
        <w:t>五、变额年金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老年生活规划与年金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一、老年生活规划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二、老年规划与年金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）识记。年金保险，退休年金，趸缴保费延期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年金。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）领会，年金具体形式。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）应用。我国保险公司应开发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lastRenderedPageBreak/>
        <w:t>的年金。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第七章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新一代寿险产品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变额寿险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一、变额寿险的发展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二、变额寿险的主要内容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万能寿险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一、万能寿险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二、万能寿险的作业程序</w:t>
      </w:r>
      <w:r w:rsidRPr="00E85E88">
        <w:rPr>
          <w:rFonts w:hint="eastAsia"/>
          <w:sz w:val="24"/>
          <w:szCs w:val="24"/>
        </w:rPr>
        <w:t xml:space="preserve">   17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分红保险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一、分红保险及其特征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二、分红保险的利源分析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三、红利分配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第四节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我国新一代寿险产品简介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一、平安世纪理财投资连接保险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二、太平盛世万能寿险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三、国寿鸿泰两全分红保险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）识记。变额寿险，分红保险，投连保险</w:t>
      </w:r>
      <w:r w:rsidRPr="00E85E88">
        <w:rPr>
          <w:rFonts w:hint="eastAsia"/>
          <w:sz w:val="24"/>
          <w:szCs w:val="24"/>
        </w:rPr>
        <w:t xml:space="preserve">  </w:t>
      </w:r>
      <w:r w:rsidRPr="00E85E88">
        <w:rPr>
          <w:rFonts w:hint="eastAsia"/>
          <w:sz w:val="24"/>
          <w:szCs w:val="24"/>
        </w:rPr>
        <w:t>。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）领会，新型寿险的特色及优势。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）应用。投资类保险产品遇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到的主要问题既解决方法。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</w:t>
      </w:r>
      <w:r w:rsidRPr="00E85E88">
        <w:rPr>
          <w:rFonts w:hint="eastAsia"/>
          <w:sz w:val="24"/>
          <w:szCs w:val="24"/>
        </w:rPr>
        <w:t>第八章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意外伤害保险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意外伤害及其判定程序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一、意外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二、伤害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三、意外伤害的判别程序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意外伤害保险及其主要条款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一、意外伤害保险及其特点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二、意外伤害保险的主要条款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意外伤害保险的种类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一、个人意外伤害保险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二、团体意外伤害保险</w:t>
      </w:r>
      <w:r w:rsidRPr="00E85E88">
        <w:rPr>
          <w:rFonts w:hint="eastAsia"/>
          <w:sz w:val="24"/>
          <w:szCs w:val="24"/>
        </w:rPr>
        <w:t xml:space="preserve">   18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第四节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我国现行意外伤害保险简介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一、旅游保险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二、航空意外险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三、学生、幼儿意外伤害保险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四、公路旅客意外伤害保险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）识记。意外，伤害。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）领会，意外伤害保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险的主要特点。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）应用。采撷相关案例用意外伤害保险的判别程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序加以判别。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lastRenderedPageBreak/>
        <w:t xml:space="preserve">           </w:t>
      </w:r>
      <w:r w:rsidRPr="00E85E88">
        <w:rPr>
          <w:rFonts w:hint="eastAsia"/>
          <w:sz w:val="24"/>
          <w:szCs w:val="24"/>
        </w:rPr>
        <w:t>第九章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医疗保险</w:t>
      </w:r>
      <w:r w:rsidRPr="00E85E88">
        <w:rPr>
          <w:rFonts w:hint="eastAsia"/>
          <w:sz w:val="24"/>
          <w:szCs w:val="24"/>
        </w:rPr>
        <w:t xml:space="preserve"> 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   </w:t>
      </w:r>
      <w:r w:rsidRPr="00E85E88">
        <w:rPr>
          <w:rFonts w:hint="eastAsia"/>
          <w:sz w:val="24"/>
          <w:szCs w:val="24"/>
        </w:rPr>
        <w:t>医疗保险内容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一、医疗保险的概念及其特征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二、医疗保险内容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三、医疗保险合同的特殊条款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医疗保险种类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一、基本医疗费用保险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二、高额医疗费用保险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三、特种医疗费用保险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长期护理保险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一、长期护理保险的开展依据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二、长期护理保险的主要内容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三、长期护理保险的类型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第四节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我国现行保险市场的医疗保险产品</w:t>
      </w:r>
      <w:r w:rsidRPr="00E85E88">
        <w:rPr>
          <w:rFonts w:hint="eastAsia"/>
          <w:sz w:val="24"/>
          <w:szCs w:val="24"/>
        </w:rPr>
        <w:t xml:space="preserve">   19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一、各家人寿保险公司医疗保险产品概览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二、特色医疗保险产品简介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）识记。医疗保险，高额医疗费用保险，长期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护理保险。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）领会，各种医疗保险的保险责任，保险期限与责任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期限。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）应用。大病保险的问题及解决方法。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第十章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残疾收入保险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残疾收入保险及其特征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一、残疾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二、残疾种类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三、残疾收入保险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四、残疾收入保险的特征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残疾收入保险主合同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一、残疾收入保险的一般条款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二、残疾收入保险的特殊条款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残疾收入保险附约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一、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附加在个人人寿保险计划中的残疾收入保险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二、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附加在企业人寿保险计划中的残疾收入保险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第四节</w:t>
      </w: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残疾收入保险的保险金给付方法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一、残疾收入保险金的申领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二、给付期间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三、延续给付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四、给付金额</w:t>
      </w:r>
      <w:r w:rsidRPr="00E85E88">
        <w:rPr>
          <w:rFonts w:hint="eastAsia"/>
          <w:sz w:val="24"/>
          <w:szCs w:val="24"/>
        </w:rPr>
        <w:t xml:space="preserve">   20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五、给付终止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）识记。残疾，绝对全残，通用全残定义。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）领会，各</w:t>
      </w:r>
      <w:r w:rsidRPr="00E85E88">
        <w:rPr>
          <w:rFonts w:hint="eastAsia"/>
          <w:sz w:val="24"/>
          <w:szCs w:val="24"/>
        </w:rPr>
        <w:lastRenderedPageBreak/>
        <w:t>种残疾定义的把握。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）应用。结合我国的具体险种，说明残疾收入保险金的给付。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第十一章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团体人身保险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</w:t>
      </w: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团体人身保险的概念和特征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一、团体人身保险的概念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二、团体人身保险的特征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三、团体人身保险的优缺点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团体人身保险的风险选择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一、团体人身保险风险选择需考虑的因素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二、符合承保条件的团体类型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团体人身保险类型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一、团体人寿保险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二、团体健康保险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三、团体意外伤害保险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）识记。团体人身保险。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）领会，团体人身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保险承保中要考虑的要素。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）应用。自己动手设计一款团体保险。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第十二章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人身保险推销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人员推销与推销人员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一、人员推销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二、推销人员</w:t>
      </w:r>
      <w:r w:rsidRPr="00E85E88">
        <w:rPr>
          <w:rFonts w:hint="eastAsia"/>
          <w:sz w:val="24"/>
          <w:szCs w:val="24"/>
        </w:rPr>
        <w:t xml:space="preserve">   21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    </w:t>
      </w:r>
      <w:r w:rsidRPr="00E85E88">
        <w:rPr>
          <w:rFonts w:hint="eastAsia"/>
          <w:sz w:val="24"/>
          <w:szCs w:val="24"/>
        </w:rPr>
        <w:t>三、人员推销模式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人身保险推销的基础性工作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</w:t>
      </w:r>
      <w:r w:rsidRPr="00E85E88">
        <w:rPr>
          <w:rFonts w:hint="eastAsia"/>
          <w:sz w:val="24"/>
          <w:szCs w:val="24"/>
        </w:rPr>
        <w:t>一、准保护的开拓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二、接近准保户的方法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人身保险推销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一、推销前的准备工作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二、推销过程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三、促成签约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四、团体保险推销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第四节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人身保险推销渠道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一、直接推销渠道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二、间接推销渠道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）识记。准保户，直接营销渠道，间接营销渠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道。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）领会，推销的各个环节，应掌握的技巧。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）应用。利用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实习机会演练推销技巧。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第十三章</w:t>
      </w:r>
      <w:r w:rsidRPr="00E85E88">
        <w:rPr>
          <w:rFonts w:hint="eastAsia"/>
          <w:sz w:val="24"/>
          <w:szCs w:val="24"/>
        </w:rPr>
        <w:t xml:space="preserve">     </w:t>
      </w:r>
      <w:r w:rsidRPr="00E85E88">
        <w:rPr>
          <w:rFonts w:hint="eastAsia"/>
          <w:sz w:val="24"/>
          <w:szCs w:val="24"/>
        </w:rPr>
        <w:t>人身保险核保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核保概述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一、核保的概念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lastRenderedPageBreak/>
        <w:t>二、核保原则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三、核保工作系统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四、核保资料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核保过程与内容</w:t>
      </w:r>
      <w:r w:rsidRPr="00E85E88">
        <w:rPr>
          <w:rFonts w:hint="eastAsia"/>
          <w:sz w:val="24"/>
          <w:szCs w:val="24"/>
        </w:rPr>
        <w:t xml:space="preserve">   22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一、业务员的选择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二、医务风险选择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三、核保人员选择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四、生存调查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核保因素分析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一、健康因素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 </w:t>
      </w:r>
      <w:r w:rsidRPr="00E85E88">
        <w:rPr>
          <w:rFonts w:hint="eastAsia"/>
          <w:sz w:val="24"/>
          <w:szCs w:val="24"/>
        </w:rPr>
        <w:t>二、非健康因素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三、财务因素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第四节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核保结果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一、风险等级划分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二、风险等级分类方法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三、附加条件承保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四、延期承保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）识记。核保，财务因素，延期承保。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会，核保过程与内容。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）应用。同学相互设例，看看附加什么样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的条件承保合适。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第十四章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人身保险理赔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</w:t>
      </w: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人身保险理赔程序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</w:t>
      </w:r>
      <w:r w:rsidRPr="00E85E88">
        <w:rPr>
          <w:rFonts w:hint="eastAsia"/>
          <w:sz w:val="24"/>
          <w:szCs w:val="24"/>
        </w:rPr>
        <w:t>一、人身理赔理赔程序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二、理赔调查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三、理赔质量审查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四、理赔自动化</w:t>
      </w:r>
      <w:r w:rsidRPr="00E85E88">
        <w:rPr>
          <w:rFonts w:hint="eastAsia"/>
          <w:sz w:val="24"/>
          <w:szCs w:val="24"/>
        </w:rPr>
        <w:t xml:space="preserve">   23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人身保险理赔实务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一、人寿保险理赔实务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二、医疗保险理赔实务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三、残疾收入保险理赔实务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人身保险理赔案例分析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一、被保险人被受益人杀害的保险金给付问题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二、除了给付死亡旅客保险金，是否还应给付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抚恤金和丧葬费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三、投保人隐瞒了重要事实，保险人是否承担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保险责任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四、被保险人被宣告死亡后又重新出现，保险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人如何处理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lastRenderedPageBreak/>
        <w:t xml:space="preserve">               </w:t>
      </w:r>
      <w:r w:rsidRPr="00E85E88">
        <w:rPr>
          <w:rFonts w:hint="eastAsia"/>
          <w:sz w:val="24"/>
          <w:szCs w:val="24"/>
        </w:rPr>
        <w:t>第四节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人身保险索赔中的保险欺诈及其防范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一、人身保险欺诈形式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 </w:t>
      </w:r>
      <w:r w:rsidRPr="00E85E88">
        <w:rPr>
          <w:rFonts w:hint="eastAsia"/>
          <w:sz w:val="24"/>
          <w:szCs w:val="24"/>
        </w:rPr>
        <w:t>二、保险欺诈的防范措施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）识记。保险理赔，保险欺诈。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）领会，理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赔实务操作。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）应用。进行案例分析。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第十五章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人身保险服务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</w:t>
      </w: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保险服务内涵及其一般内容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一、保险服务内涵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二、保险服务的一般内容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三、保险服务组织</w:t>
      </w:r>
      <w:r w:rsidR="000B63BA" w:rsidRPr="00E85E88">
        <w:rPr>
          <w:rFonts w:hint="eastAsia"/>
          <w:sz w:val="24"/>
          <w:szCs w:val="24"/>
        </w:rPr>
        <w:t xml:space="preserve">  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契约保全服务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一、变更保险保障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二、确定现金价值、管理贷款与红利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三、非保障变更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四、满足保户的其他要求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附加价值服务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</w:t>
      </w:r>
      <w:r w:rsidRPr="00E85E88">
        <w:rPr>
          <w:rFonts w:hint="eastAsia"/>
          <w:sz w:val="24"/>
          <w:szCs w:val="24"/>
        </w:rPr>
        <w:t>一、附加价值服务的含义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二、附加价值服务的内容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</w:t>
      </w:r>
      <w:r w:rsidRPr="00E85E88">
        <w:rPr>
          <w:rFonts w:hint="eastAsia"/>
          <w:sz w:val="24"/>
          <w:szCs w:val="24"/>
        </w:rPr>
        <w:t>第四节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咨询与申诉制度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一、开展门店服务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</w:t>
      </w:r>
      <w:r w:rsidRPr="00E85E88">
        <w:rPr>
          <w:rFonts w:hint="eastAsia"/>
          <w:sz w:val="24"/>
          <w:szCs w:val="24"/>
        </w:rPr>
        <w:t>二、建立咨询热线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）识记。保险服务，附加价值服务，申诉制度。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）领会，保险服务在保险经营中的重要作用。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）应用。让你担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任客户服务部门经理，你准备怎样做。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第十六章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人寿保险费率理定</w:t>
      </w:r>
      <w:r w:rsidRPr="00E85E88">
        <w:rPr>
          <w:rFonts w:hint="eastAsia"/>
          <w:sz w:val="24"/>
          <w:szCs w:val="24"/>
        </w:rPr>
        <w:t xml:space="preserve"> 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第一节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人寿保险费率构成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一、人寿保险费构成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二、人寿保险费率影响因素分析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</w:t>
      </w:r>
      <w:r w:rsidRPr="00E85E88">
        <w:rPr>
          <w:rFonts w:hint="eastAsia"/>
          <w:sz w:val="24"/>
          <w:szCs w:val="24"/>
        </w:rPr>
        <w:t>三、厘定保险费率原则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</w:t>
      </w:r>
      <w:r w:rsidRPr="00E85E88">
        <w:rPr>
          <w:rFonts w:hint="eastAsia"/>
          <w:sz w:val="24"/>
          <w:szCs w:val="24"/>
        </w:rPr>
        <w:t>第二节</w:t>
      </w:r>
      <w:r w:rsidRPr="00E85E88">
        <w:rPr>
          <w:rFonts w:hint="eastAsia"/>
          <w:sz w:val="24"/>
          <w:szCs w:val="24"/>
        </w:rPr>
        <w:t xml:space="preserve">   </w:t>
      </w:r>
      <w:r w:rsidRPr="00E85E88">
        <w:rPr>
          <w:rFonts w:hint="eastAsia"/>
          <w:sz w:val="24"/>
          <w:szCs w:val="24"/>
        </w:rPr>
        <w:t>人寿保险费率计算基础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一、生命表</w:t>
      </w:r>
      <w:r w:rsidRPr="00E85E88">
        <w:rPr>
          <w:rFonts w:hint="eastAsia"/>
          <w:sz w:val="24"/>
          <w:szCs w:val="24"/>
        </w:rPr>
        <w:t xml:space="preserve">   25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二、利息率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三、终值与现值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四、换算符号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</w:t>
      </w:r>
      <w:r w:rsidRPr="00E85E88">
        <w:rPr>
          <w:rFonts w:hint="eastAsia"/>
          <w:sz w:val="24"/>
          <w:szCs w:val="24"/>
        </w:rPr>
        <w:t>第三节</w:t>
      </w:r>
      <w:r w:rsidRPr="00E85E88">
        <w:rPr>
          <w:rFonts w:hint="eastAsia"/>
          <w:sz w:val="24"/>
          <w:szCs w:val="24"/>
        </w:rPr>
        <w:t xml:space="preserve">    </w:t>
      </w:r>
      <w:r w:rsidRPr="00E85E88">
        <w:rPr>
          <w:rFonts w:hint="eastAsia"/>
          <w:sz w:val="24"/>
          <w:szCs w:val="24"/>
        </w:rPr>
        <w:t>人寿保险费率计算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一、假设前提和计算步骤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</w:t>
      </w:r>
      <w:r w:rsidRPr="00E85E88">
        <w:rPr>
          <w:rFonts w:hint="eastAsia"/>
          <w:sz w:val="24"/>
          <w:szCs w:val="24"/>
        </w:rPr>
        <w:t>二、寿险趸缴纯保险费率计算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lastRenderedPageBreak/>
        <w:t xml:space="preserve">                   </w:t>
      </w:r>
      <w:r w:rsidRPr="00E85E88">
        <w:rPr>
          <w:rFonts w:hint="eastAsia"/>
          <w:sz w:val="24"/>
          <w:szCs w:val="24"/>
        </w:rPr>
        <w:t>三、寿险年缴纯保险费率计算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 xml:space="preserve">                    </w:t>
      </w:r>
      <w:r w:rsidRPr="00E85E88">
        <w:rPr>
          <w:rFonts w:hint="eastAsia"/>
          <w:sz w:val="24"/>
          <w:szCs w:val="24"/>
        </w:rPr>
        <w:t>四、附加保险费率计算</w:t>
      </w:r>
      <w:r w:rsidRPr="00E85E88">
        <w:rPr>
          <w:rFonts w:hint="eastAsia"/>
          <w:sz w:val="24"/>
          <w:szCs w:val="24"/>
        </w:rPr>
        <w:t xml:space="preserve"> 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本章考核要求：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1</w:t>
      </w:r>
      <w:r w:rsidRPr="00E85E88">
        <w:rPr>
          <w:rFonts w:hint="eastAsia"/>
          <w:sz w:val="24"/>
          <w:szCs w:val="24"/>
        </w:rPr>
        <w:t>）识记。保险费，现值。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2</w:t>
      </w:r>
      <w:r w:rsidRPr="00E85E88">
        <w:rPr>
          <w:rFonts w:hint="eastAsia"/>
          <w:sz w:val="24"/>
          <w:szCs w:val="24"/>
        </w:rPr>
        <w:t>）领会，影响费率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  <w:r w:rsidRPr="00E85E88">
        <w:rPr>
          <w:rFonts w:hint="eastAsia"/>
          <w:sz w:val="24"/>
          <w:szCs w:val="24"/>
        </w:rPr>
        <w:t>计算的各种要素。</w:t>
      </w:r>
      <w:r w:rsidRPr="00E85E88">
        <w:rPr>
          <w:rFonts w:hint="eastAsia"/>
          <w:sz w:val="24"/>
          <w:szCs w:val="24"/>
        </w:rPr>
        <w:t xml:space="preserve"> </w:t>
      </w:r>
      <w:r w:rsidRPr="00E85E88">
        <w:rPr>
          <w:rFonts w:hint="eastAsia"/>
          <w:sz w:val="24"/>
          <w:szCs w:val="24"/>
        </w:rPr>
        <w:t>（</w:t>
      </w:r>
      <w:r w:rsidRPr="00E85E88">
        <w:rPr>
          <w:rFonts w:hint="eastAsia"/>
          <w:sz w:val="24"/>
          <w:szCs w:val="24"/>
        </w:rPr>
        <w:t>3</w:t>
      </w:r>
      <w:r w:rsidRPr="00E85E88">
        <w:rPr>
          <w:rFonts w:hint="eastAsia"/>
          <w:sz w:val="24"/>
          <w:szCs w:val="24"/>
        </w:rPr>
        <w:t>）应用。举例进行具体险种的费率计算。</w:t>
      </w: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</w:p>
    <w:p w:rsidR="00931092" w:rsidRPr="00E85E88" w:rsidRDefault="00931092" w:rsidP="00E85E88">
      <w:pPr>
        <w:spacing w:line="276" w:lineRule="auto"/>
        <w:rPr>
          <w:sz w:val="24"/>
          <w:szCs w:val="24"/>
        </w:rPr>
      </w:pPr>
    </w:p>
    <w:p w:rsidR="00931092" w:rsidRPr="00E85E88" w:rsidRDefault="00931092" w:rsidP="00E85E88">
      <w:pPr>
        <w:shd w:val="clear" w:color="auto" w:fill="FFFFFF"/>
        <w:snapToGrid w:val="0"/>
        <w:spacing w:line="276" w:lineRule="auto"/>
        <w:rPr>
          <w:rFonts w:ascii="宋体" w:eastAsia="宋体" w:hAnsi="宋体" w:cs="Times New Roman"/>
          <w:b/>
          <w:bCs/>
          <w:iCs/>
          <w:sz w:val="24"/>
          <w:szCs w:val="24"/>
        </w:rPr>
      </w:pPr>
      <w:r w:rsidRPr="00E85E88">
        <w:rPr>
          <w:rFonts w:ascii="宋体" w:eastAsia="宋体" w:hAnsi="宋体" w:cs="Times New Roman" w:hint="eastAsia"/>
          <w:b/>
          <w:bCs/>
          <w:iCs/>
          <w:sz w:val="24"/>
          <w:szCs w:val="24"/>
        </w:rPr>
        <w:t>7.考核标准</w:t>
      </w:r>
    </w:p>
    <w:p w:rsidR="00931092" w:rsidRPr="00E85E88" w:rsidRDefault="00931092" w:rsidP="00E85E88">
      <w:pPr>
        <w:shd w:val="clear" w:color="auto" w:fill="FFFFFF"/>
        <w:snapToGrid w:val="0"/>
        <w:spacing w:line="276" w:lineRule="auto"/>
        <w:rPr>
          <w:rFonts w:ascii="Times New Roman" w:eastAsia="宋体" w:hAnsi="Times New Roman" w:cs="Times New Roman"/>
          <w:sz w:val="24"/>
          <w:szCs w:val="24"/>
        </w:rPr>
      </w:pPr>
      <w:r w:rsidRPr="00E85E88">
        <w:rPr>
          <w:rFonts w:ascii="Times New Roman" w:eastAsia="宋体" w:hAnsi="宋体" w:cs="Times New Roman" w:hint="eastAsia"/>
          <w:sz w:val="24"/>
          <w:szCs w:val="24"/>
        </w:rPr>
        <w:t>《人身保险》是一门实践性、应用性较强的课程，应该重点考核学生的分析问题解决问题的能力，同时也不能忽视基本理论的学习和考核。</w:t>
      </w:r>
    </w:p>
    <w:p w:rsidR="00931092" w:rsidRPr="00E85E88" w:rsidRDefault="00931092" w:rsidP="00E85E88">
      <w:pPr>
        <w:shd w:val="clear" w:color="auto" w:fill="FFFFFF"/>
        <w:snapToGrid w:val="0"/>
        <w:spacing w:line="276" w:lineRule="auto"/>
        <w:rPr>
          <w:rFonts w:ascii="Times New Roman" w:eastAsia="宋体" w:hAnsi="Times New Roman" w:cs="Times New Roman"/>
          <w:sz w:val="24"/>
          <w:szCs w:val="24"/>
        </w:rPr>
      </w:pPr>
      <w:r w:rsidRPr="00E85E88">
        <w:rPr>
          <w:rFonts w:ascii="Times New Roman" w:eastAsia="宋体" w:hAnsi="Times New Roman" w:cs="Times New Roman"/>
          <w:sz w:val="24"/>
          <w:szCs w:val="24"/>
        </w:rPr>
        <w:t xml:space="preserve">1. </w:t>
      </w:r>
      <w:r w:rsidRPr="00E85E88">
        <w:rPr>
          <w:rFonts w:ascii="Times New Roman" w:eastAsia="宋体" w:hAnsi="宋体" w:cs="Times New Roman" w:hint="eastAsia"/>
          <w:sz w:val="24"/>
          <w:szCs w:val="24"/>
        </w:rPr>
        <w:t>平时考核：</w:t>
      </w:r>
    </w:p>
    <w:p w:rsidR="00931092" w:rsidRPr="00931092" w:rsidRDefault="00931092" w:rsidP="00E85E88">
      <w:pPr>
        <w:shd w:val="clear" w:color="auto" w:fill="FFFFFF"/>
        <w:snapToGrid w:val="0"/>
        <w:spacing w:line="276" w:lineRule="auto"/>
        <w:rPr>
          <w:rFonts w:ascii="Times New Roman" w:eastAsia="宋体" w:hAnsi="Times New Roman" w:cs="Times New Roman"/>
          <w:szCs w:val="24"/>
        </w:rPr>
      </w:pPr>
      <w:r w:rsidRPr="00E85E88">
        <w:rPr>
          <w:rFonts w:ascii="Times New Roman" w:eastAsia="宋体" w:hAnsi="宋体" w:cs="Times New Roman" w:hint="eastAsia"/>
          <w:sz w:val="24"/>
          <w:szCs w:val="24"/>
        </w:rPr>
        <w:t>学生平时成绩可由下列几方面考核构成：</w:t>
      </w:r>
      <w:r w:rsidRPr="00E85E88">
        <w:rPr>
          <w:rFonts w:ascii="Times New Roman" w:eastAsia="宋体" w:hAnsi="宋体" w:cs="Times New Roman" w:hint="eastAsia"/>
          <w:sz w:val="24"/>
          <w:szCs w:val="24"/>
        </w:rPr>
        <w:t xml:space="preserve"> </w:t>
      </w:r>
      <w:r w:rsidRPr="00E85E88">
        <w:rPr>
          <w:rFonts w:ascii="Times New Roman" w:eastAsia="宋体" w:hAnsi="宋体" w:cs="Times New Roman" w:hint="eastAsia"/>
          <w:sz w:val="24"/>
          <w:szCs w:val="24"/>
        </w:rPr>
        <w:br/>
      </w:r>
      <w:r w:rsidRPr="00E85E88">
        <w:rPr>
          <w:rFonts w:ascii="Times New Roman" w:eastAsia="宋体" w:hAnsi="宋体" w:cs="Times New Roman" w:hint="eastAsia"/>
          <w:sz w:val="24"/>
          <w:szCs w:val="24"/>
        </w:rPr>
        <w:t>（</w:t>
      </w:r>
      <w:r w:rsidRPr="00E85E88">
        <w:rPr>
          <w:rFonts w:ascii="Times New Roman" w:eastAsia="宋体" w:hAnsi="宋体" w:cs="Times New Roman" w:hint="eastAsia"/>
          <w:sz w:val="24"/>
          <w:szCs w:val="24"/>
        </w:rPr>
        <w:t>1</w:t>
      </w:r>
      <w:r w:rsidRPr="00E85E88">
        <w:rPr>
          <w:rFonts w:ascii="Times New Roman" w:eastAsia="宋体" w:hAnsi="宋体" w:cs="Times New Roman" w:hint="eastAsia"/>
          <w:sz w:val="24"/>
          <w:szCs w:val="24"/>
        </w:rPr>
        <w:t>）</w:t>
      </w:r>
      <w:r w:rsidRPr="00E85E88">
        <w:rPr>
          <w:rFonts w:ascii="Times New Roman" w:eastAsia="宋体" w:hAnsi="宋体" w:cs="Times New Roman" w:hint="eastAsia"/>
          <w:sz w:val="24"/>
          <w:szCs w:val="24"/>
        </w:rPr>
        <w:t xml:space="preserve"> </w:t>
      </w:r>
      <w:r w:rsidRPr="00E85E88">
        <w:rPr>
          <w:rFonts w:ascii="Times New Roman" w:eastAsia="宋体" w:hAnsi="宋体" w:cs="Times New Roman" w:hint="eastAsia"/>
          <w:sz w:val="24"/>
          <w:szCs w:val="24"/>
        </w:rPr>
        <w:t>课堂提问、讨论发言情况；</w:t>
      </w:r>
      <w:r w:rsidRPr="00931092">
        <w:rPr>
          <w:rFonts w:ascii="Times New Roman" w:eastAsia="宋体" w:hAnsi="宋体" w:cs="Times New Roman" w:hint="eastAsia"/>
          <w:szCs w:val="24"/>
        </w:rPr>
        <w:br/>
      </w:r>
      <w:r w:rsidRPr="00931092">
        <w:rPr>
          <w:rFonts w:ascii="Times New Roman" w:eastAsia="宋体" w:hAnsi="宋体" w:cs="Times New Roman" w:hint="eastAsia"/>
          <w:szCs w:val="24"/>
        </w:rPr>
        <w:t>（</w:t>
      </w:r>
      <w:r w:rsidRPr="00931092">
        <w:rPr>
          <w:rFonts w:ascii="Times New Roman" w:eastAsia="宋体" w:hAnsi="宋体" w:cs="Times New Roman" w:hint="eastAsia"/>
          <w:szCs w:val="24"/>
        </w:rPr>
        <w:t>2</w:t>
      </w:r>
      <w:r w:rsidRPr="00931092">
        <w:rPr>
          <w:rFonts w:ascii="Times New Roman" w:eastAsia="宋体" w:hAnsi="宋体" w:cs="Times New Roman" w:hint="eastAsia"/>
          <w:szCs w:val="24"/>
        </w:rPr>
        <w:t>）</w:t>
      </w:r>
      <w:r w:rsidRPr="00931092">
        <w:rPr>
          <w:rFonts w:ascii="Times New Roman" w:eastAsia="宋体" w:hAnsi="宋体" w:cs="Times New Roman" w:hint="eastAsia"/>
          <w:szCs w:val="24"/>
        </w:rPr>
        <w:t xml:space="preserve"> </w:t>
      </w:r>
      <w:r w:rsidRPr="00931092">
        <w:rPr>
          <w:rFonts w:ascii="Times New Roman" w:eastAsia="宋体" w:hAnsi="宋体" w:cs="Times New Roman" w:hint="eastAsia"/>
          <w:szCs w:val="24"/>
        </w:rPr>
        <w:t>课堂纪律、出勤情况；</w:t>
      </w:r>
      <w:r w:rsidRPr="00931092">
        <w:rPr>
          <w:rFonts w:ascii="Times New Roman" w:eastAsia="宋体" w:hAnsi="宋体" w:cs="Times New Roman" w:hint="eastAsia"/>
          <w:szCs w:val="24"/>
        </w:rPr>
        <w:br/>
      </w:r>
      <w:r w:rsidRPr="00931092">
        <w:rPr>
          <w:rFonts w:ascii="Times New Roman" w:eastAsia="宋体" w:hAnsi="宋体" w:cs="Times New Roman" w:hint="eastAsia"/>
          <w:szCs w:val="24"/>
        </w:rPr>
        <w:t>（</w:t>
      </w:r>
      <w:r w:rsidRPr="00931092">
        <w:rPr>
          <w:rFonts w:ascii="Times New Roman" w:eastAsia="宋体" w:hAnsi="宋体" w:cs="Times New Roman" w:hint="eastAsia"/>
          <w:szCs w:val="24"/>
        </w:rPr>
        <w:t>3</w:t>
      </w:r>
      <w:r w:rsidRPr="00931092">
        <w:rPr>
          <w:rFonts w:ascii="Times New Roman" w:eastAsia="宋体" w:hAnsi="宋体" w:cs="Times New Roman" w:hint="eastAsia"/>
          <w:szCs w:val="24"/>
        </w:rPr>
        <w:t>）</w:t>
      </w:r>
      <w:r w:rsidRPr="00931092">
        <w:rPr>
          <w:rFonts w:ascii="Times New Roman" w:eastAsia="宋体" w:hAnsi="宋体" w:cs="Times New Roman" w:hint="eastAsia"/>
          <w:szCs w:val="24"/>
        </w:rPr>
        <w:t xml:space="preserve"> </w:t>
      </w:r>
      <w:r w:rsidRPr="00931092">
        <w:rPr>
          <w:rFonts w:ascii="Times New Roman" w:eastAsia="宋体" w:hAnsi="宋体" w:cs="Times New Roman" w:hint="eastAsia"/>
          <w:szCs w:val="24"/>
        </w:rPr>
        <w:t>作业情况。根据教学大纲安排，可按每一章后面的思考练习题的完成情况，进行考核评分，并记录成绩。</w:t>
      </w:r>
      <w:r w:rsidRPr="00931092">
        <w:rPr>
          <w:rFonts w:ascii="Times New Roman" w:eastAsia="宋体" w:hAnsi="宋体" w:cs="Times New Roman" w:hint="eastAsia"/>
          <w:szCs w:val="24"/>
        </w:rPr>
        <w:br/>
        <w:t>2.</w:t>
      </w:r>
      <w:r w:rsidRPr="00931092">
        <w:rPr>
          <w:rFonts w:ascii="Times New Roman" w:eastAsia="宋体" w:hAnsi="Times New Roman" w:cs="Times New Roman"/>
          <w:szCs w:val="24"/>
        </w:rPr>
        <w:t xml:space="preserve"> </w:t>
      </w:r>
      <w:r w:rsidRPr="00931092">
        <w:rPr>
          <w:rFonts w:ascii="Times New Roman" w:eastAsia="宋体" w:hAnsi="宋体" w:cs="Times New Roman" w:hint="eastAsia"/>
          <w:szCs w:val="24"/>
        </w:rPr>
        <w:t>期末考核：</w:t>
      </w:r>
      <w:r w:rsidRPr="00931092">
        <w:rPr>
          <w:rFonts w:ascii="Times New Roman" w:eastAsia="宋体" w:hAnsi="宋体" w:cs="Times New Roman" w:hint="eastAsia"/>
          <w:szCs w:val="24"/>
        </w:rPr>
        <w:br/>
      </w:r>
      <w:r w:rsidRPr="00931092">
        <w:rPr>
          <w:rFonts w:ascii="Times New Roman" w:eastAsia="宋体" w:hAnsi="宋体" w:cs="Times New Roman" w:hint="eastAsia"/>
          <w:szCs w:val="24"/>
        </w:rPr>
        <w:t>根据教学计划和学院安排进行</w:t>
      </w:r>
      <w:r w:rsidRPr="00931092">
        <w:rPr>
          <w:rFonts w:ascii="Times New Roman" w:eastAsia="宋体" w:hAnsi="宋体" w:cs="Times New Roman" w:hint="eastAsia"/>
          <w:szCs w:val="24"/>
        </w:rPr>
        <w:t>,</w:t>
      </w:r>
      <w:r w:rsidRPr="00931092">
        <w:rPr>
          <w:rFonts w:ascii="Times New Roman" w:eastAsia="宋体" w:hAnsi="宋体" w:cs="Times New Roman" w:hint="eastAsia"/>
          <w:szCs w:val="24"/>
        </w:rPr>
        <w:t>采用集中方式考试，考试内容按考试大纲执行。</w:t>
      </w:r>
      <w:r w:rsidRPr="00931092">
        <w:rPr>
          <w:rFonts w:ascii="Times New Roman" w:eastAsia="宋体" w:hAnsi="宋体" w:cs="Times New Roman" w:hint="eastAsia"/>
          <w:szCs w:val="24"/>
        </w:rPr>
        <w:br/>
      </w:r>
      <w:r w:rsidRPr="00931092">
        <w:rPr>
          <w:rFonts w:ascii="Times New Roman" w:eastAsia="宋体" w:hAnsi="Times New Roman" w:cs="Times New Roman"/>
          <w:szCs w:val="24"/>
        </w:rPr>
        <w:t xml:space="preserve">3. </w:t>
      </w:r>
      <w:r w:rsidRPr="00931092">
        <w:rPr>
          <w:rFonts w:ascii="Times New Roman" w:eastAsia="宋体" w:hAnsi="宋体" w:cs="Times New Roman" w:hint="eastAsia"/>
          <w:szCs w:val="24"/>
        </w:rPr>
        <w:t>评分办法：平时成绩占</w:t>
      </w:r>
      <w:r w:rsidRPr="00931092">
        <w:rPr>
          <w:rFonts w:ascii="Times New Roman" w:eastAsia="宋体" w:hAnsi="Times New Roman" w:cs="Times New Roman"/>
          <w:szCs w:val="24"/>
        </w:rPr>
        <w:t>30%</w:t>
      </w:r>
      <w:r w:rsidRPr="00931092">
        <w:rPr>
          <w:rFonts w:ascii="Times New Roman" w:eastAsia="宋体" w:hAnsi="Times New Roman" w:cs="Times New Roman"/>
          <w:szCs w:val="24"/>
        </w:rPr>
        <w:t>，期末成绩占</w:t>
      </w:r>
      <w:r w:rsidRPr="00931092">
        <w:rPr>
          <w:rFonts w:ascii="Times New Roman" w:eastAsia="宋体" w:hAnsi="Times New Roman" w:cs="Times New Roman"/>
          <w:szCs w:val="24"/>
        </w:rPr>
        <w:t>70%</w:t>
      </w:r>
    </w:p>
    <w:p w:rsidR="00931092" w:rsidRDefault="00931092"/>
    <w:sectPr w:rsidR="00931092" w:rsidSect="00DA7E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54BF" w:rsidRDefault="000C54BF" w:rsidP="00931092">
      <w:r>
        <w:separator/>
      </w:r>
    </w:p>
  </w:endnote>
  <w:endnote w:type="continuationSeparator" w:id="0">
    <w:p w:rsidR="000C54BF" w:rsidRDefault="000C54BF" w:rsidP="009310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54BF" w:rsidRDefault="000C54BF" w:rsidP="00931092">
      <w:r>
        <w:separator/>
      </w:r>
    </w:p>
  </w:footnote>
  <w:footnote w:type="continuationSeparator" w:id="0">
    <w:p w:rsidR="000C54BF" w:rsidRDefault="000C54BF" w:rsidP="009310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1092"/>
    <w:rsid w:val="00012CA0"/>
    <w:rsid w:val="00015D6D"/>
    <w:rsid w:val="00016509"/>
    <w:rsid w:val="00080E8C"/>
    <w:rsid w:val="000A1BF2"/>
    <w:rsid w:val="000A218A"/>
    <w:rsid w:val="000B36DA"/>
    <w:rsid w:val="000B63BA"/>
    <w:rsid w:val="000C54BF"/>
    <w:rsid w:val="00104548"/>
    <w:rsid w:val="001527B2"/>
    <w:rsid w:val="0017450E"/>
    <w:rsid w:val="00174840"/>
    <w:rsid w:val="001E025A"/>
    <w:rsid w:val="00212BDC"/>
    <w:rsid w:val="002502EE"/>
    <w:rsid w:val="002578B4"/>
    <w:rsid w:val="002827BD"/>
    <w:rsid w:val="00285E69"/>
    <w:rsid w:val="002B096C"/>
    <w:rsid w:val="002E2CDD"/>
    <w:rsid w:val="002F3CBA"/>
    <w:rsid w:val="00352919"/>
    <w:rsid w:val="003B1A04"/>
    <w:rsid w:val="003F3733"/>
    <w:rsid w:val="003F4CB8"/>
    <w:rsid w:val="0040665D"/>
    <w:rsid w:val="00437EDB"/>
    <w:rsid w:val="004841CC"/>
    <w:rsid w:val="004B1544"/>
    <w:rsid w:val="004D6E65"/>
    <w:rsid w:val="004D7B21"/>
    <w:rsid w:val="00562BD4"/>
    <w:rsid w:val="00575EC2"/>
    <w:rsid w:val="005B0536"/>
    <w:rsid w:val="005B3BA7"/>
    <w:rsid w:val="005D5214"/>
    <w:rsid w:val="005F7013"/>
    <w:rsid w:val="00641B7A"/>
    <w:rsid w:val="006609F9"/>
    <w:rsid w:val="00696B0B"/>
    <w:rsid w:val="00697E74"/>
    <w:rsid w:val="006B76D9"/>
    <w:rsid w:val="006C5772"/>
    <w:rsid w:val="006D22D3"/>
    <w:rsid w:val="006D26BC"/>
    <w:rsid w:val="00701DE1"/>
    <w:rsid w:val="007418F6"/>
    <w:rsid w:val="007752C9"/>
    <w:rsid w:val="0078029D"/>
    <w:rsid w:val="007A260E"/>
    <w:rsid w:val="007A39D1"/>
    <w:rsid w:val="007A55B6"/>
    <w:rsid w:val="007B7EBD"/>
    <w:rsid w:val="007E4A0F"/>
    <w:rsid w:val="007F0EC9"/>
    <w:rsid w:val="008309EA"/>
    <w:rsid w:val="00874DF1"/>
    <w:rsid w:val="00875F5A"/>
    <w:rsid w:val="008E5519"/>
    <w:rsid w:val="00914ADB"/>
    <w:rsid w:val="009172E7"/>
    <w:rsid w:val="00931092"/>
    <w:rsid w:val="00947605"/>
    <w:rsid w:val="00950267"/>
    <w:rsid w:val="00975F34"/>
    <w:rsid w:val="009B6A51"/>
    <w:rsid w:val="00A220EB"/>
    <w:rsid w:val="00A450AC"/>
    <w:rsid w:val="00A743B5"/>
    <w:rsid w:val="00A76FCD"/>
    <w:rsid w:val="00A96B83"/>
    <w:rsid w:val="00AB5DA8"/>
    <w:rsid w:val="00AB7311"/>
    <w:rsid w:val="00AD221B"/>
    <w:rsid w:val="00AE0DF7"/>
    <w:rsid w:val="00AE4070"/>
    <w:rsid w:val="00AF032D"/>
    <w:rsid w:val="00B133AB"/>
    <w:rsid w:val="00B24680"/>
    <w:rsid w:val="00B96C81"/>
    <w:rsid w:val="00BA3F0F"/>
    <w:rsid w:val="00BD0E34"/>
    <w:rsid w:val="00C354B0"/>
    <w:rsid w:val="00C40FB1"/>
    <w:rsid w:val="00C540EA"/>
    <w:rsid w:val="00C67785"/>
    <w:rsid w:val="00D1222B"/>
    <w:rsid w:val="00D23F17"/>
    <w:rsid w:val="00D54457"/>
    <w:rsid w:val="00D97B5C"/>
    <w:rsid w:val="00DA0C0D"/>
    <w:rsid w:val="00DA7E0B"/>
    <w:rsid w:val="00DB37DA"/>
    <w:rsid w:val="00DE1441"/>
    <w:rsid w:val="00E12BE0"/>
    <w:rsid w:val="00E14858"/>
    <w:rsid w:val="00E402C9"/>
    <w:rsid w:val="00E6281E"/>
    <w:rsid w:val="00E84436"/>
    <w:rsid w:val="00E85E88"/>
    <w:rsid w:val="00EA1A48"/>
    <w:rsid w:val="00EA659C"/>
    <w:rsid w:val="00EA722E"/>
    <w:rsid w:val="00ED70DE"/>
    <w:rsid w:val="00F13365"/>
    <w:rsid w:val="00F44CF5"/>
    <w:rsid w:val="00F46862"/>
    <w:rsid w:val="00FC5C94"/>
    <w:rsid w:val="00FE3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E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1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10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1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10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1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1290</Words>
  <Characters>7358</Characters>
  <Application>Microsoft Office Word</Application>
  <DocSecurity>0</DocSecurity>
  <Lines>61</Lines>
  <Paragraphs>17</Paragraphs>
  <ScaleCrop>false</ScaleCrop>
  <Company>Lenovo (Beijing) Limited</Company>
  <LinksUpToDate>false</LinksUpToDate>
  <CharactersWithSpaces>8631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dell</cp:lastModifiedBy>
  <cp:revision>2</cp:revision>
  <dcterms:created xsi:type="dcterms:W3CDTF">2017-11-22T04:53:00Z</dcterms:created>
  <dcterms:modified xsi:type="dcterms:W3CDTF">2017-11-22T04:53:00Z</dcterms:modified>
</cp:coreProperties>
</file>